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sz w:val="2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林芝市审计局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2024年</w:t>
      </w:r>
      <w:r>
        <w:rPr>
          <w:rFonts w:hint="eastAsia" w:ascii="方正小标宋简体" w:eastAsia="方正小标宋简体"/>
          <w:sz w:val="44"/>
          <w:szCs w:val="44"/>
        </w:rPr>
        <w:t>项目支出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823" w:firstLineChars="592"/>
        <w:textAlignment w:val="auto"/>
        <w:rPr>
          <w:rFonts w:hint="eastAsia" w:eastAsia="仿宋_GB231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540" w:leftChars="500" w:firstLine="281" w:firstLineChars="91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部门名称</w:t>
      </w:r>
      <w:r>
        <w:rPr>
          <w:rFonts w:hint="eastAsia"/>
        </w:rPr>
        <w:t>：</w:t>
      </w:r>
      <w:r>
        <w:rPr>
          <w:rFonts w:hint="eastAsia"/>
          <w:lang w:eastAsia="zh-CN"/>
        </w:rPr>
        <w:t>林芝市审计局</w:t>
      </w: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540" w:leftChars="500" w:firstLine="281" w:firstLineChars="91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填报日期：</w:t>
      </w:r>
      <w:r>
        <w:rPr>
          <w:rFonts w:hint="eastAsia"/>
          <w:lang w:val="en-US" w:eastAsia="zh-CN"/>
        </w:rPr>
        <w:t>2025年5月10日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  <w:r>
        <w:rPr>
          <w:rFonts w:hint="eastAsia"/>
        </w:rPr>
        <w:t xml:space="preserve">                     </w:t>
      </w:r>
      <w:r>
        <w:rPr>
          <w:rFonts w:hint="eastAsia"/>
          <w:lang w:val="en-US" w:eastAsia="zh-CN"/>
        </w:rPr>
        <w:t>林芝市</w:t>
      </w:r>
      <w:r>
        <w:rPr>
          <w:rFonts w:hint="eastAsia"/>
        </w:rPr>
        <w:t>财政局制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  <w:r>
        <w:rPr>
          <w:rFonts w:hint="eastAsia"/>
        </w:rPr>
        <w:t xml:space="preserve">                         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 w:ascii="黑体" w:hAnsi="黑体" w:eastAsia="黑体" w:cs="黑体"/>
        </w:rPr>
      </w:pPr>
      <w:bookmarkStart w:id="0" w:name="_GoBack"/>
      <w:bookmarkEnd w:id="0"/>
      <w:r>
        <w:rPr>
          <w:rFonts w:hint="eastAsia" w:ascii="黑体" w:hAnsi="黑体" w:eastAsia="黑体" w:cs="黑体"/>
        </w:rPr>
        <w:t>一、项目基本情况</w:t>
      </w:r>
    </w:p>
    <w:p>
      <w:pPr>
        <w:adjustRightInd w:val="0"/>
        <w:snapToGrid w:val="0"/>
        <w:spacing w:line="590" w:lineRule="exact"/>
        <w:ind w:firstLine="616" w:firstLineChars="200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楷体" w:eastAsia="仿宋_GB2312"/>
          <w:bCs/>
          <w:sz w:val="32"/>
          <w:szCs w:val="32"/>
        </w:rPr>
        <w:t>随着社会的发展和各单位业务的日益复杂，内部管理与外部监督的要求也随着提高，为了确保各单位的财务报告准确性、合规性和透明度，及时发现并纠正潜在的风险和问题，通过实施全面、专业的审计服务，对被审计单位财务状况、经营成果和内部控制体系进行全面审查和评价。本预算申报书旨在明确审计业务的具体内容、范围、周期以及所需费用，为项目的顺利实施提供财务保障。</w:t>
      </w:r>
      <w:r>
        <w:rPr>
          <w:rFonts w:hint="eastAsia" w:ascii="仿宋_GB2312" w:hAnsi="仿宋_GB2312" w:eastAsia="仿宋_GB2312" w:cs="仿宋_GB2312"/>
          <w:lang w:val="en-US" w:eastAsia="zh-CN"/>
        </w:rPr>
        <w:t>2024年预算资金</w:t>
      </w:r>
      <w:r>
        <w:rPr>
          <w:rFonts w:hint="eastAsia" w:ascii="仿宋_GB2312" w:hAnsi="仿宋_GB2312" w:cs="仿宋_GB2312"/>
          <w:lang w:val="en-US" w:eastAsia="zh-CN"/>
        </w:rPr>
        <w:t>180</w:t>
      </w:r>
      <w:r>
        <w:rPr>
          <w:rFonts w:hint="eastAsia" w:ascii="仿宋_GB2312" w:hAnsi="仿宋_GB2312" w:eastAsia="仿宋_GB2312" w:cs="仿宋_GB2312"/>
          <w:lang w:val="en-US" w:eastAsia="zh-CN"/>
        </w:rPr>
        <w:t>万元，支出</w:t>
      </w:r>
      <w:r>
        <w:rPr>
          <w:rFonts w:hint="eastAsia" w:ascii="仿宋_GB2312" w:hAnsi="仿宋_GB2312" w:cs="仿宋_GB2312"/>
          <w:lang w:val="en-US" w:eastAsia="zh-CN"/>
        </w:rPr>
        <w:t>149.36</w:t>
      </w:r>
      <w:r>
        <w:rPr>
          <w:rFonts w:hint="eastAsia" w:ascii="仿宋_GB2312" w:hAnsi="仿宋_GB2312" w:eastAsia="仿宋_GB2312" w:cs="仿宋_GB2312"/>
          <w:lang w:val="en-US" w:eastAsia="zh-CN"/>
        </w:rPr>
        <w:t>万元。</w:t>
      </w:r>
      <w:r>
        <w:rPr>
          <w:rFonts w:hint="eastAsia" w:ascii="仿宋_GB2312" w:hAnsi="仿宋_GB2312" w:cs="仿宋_GB2312"/>
          <w:lang w:val="en-US" w:eastAsia="zh-CN"/>
        </w:rPr>
        <w:t>预算执行率为82.98%。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绩效自评工作组织情况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绩效评价的工作目的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为贯彻落实中央和自治区关于全面实施预算绩效管理的部署，根据有关规定强化预算绩效主体责任意识，提高财政资金使用效益。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绩效评价原则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科学规范、公开公正、分级分类、绩效相关原则。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绩效评价依据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会计凭证、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2024年部门预决算表及辅助明细账、2024年度预算指标文件、追加预算指标文件、决算批复、202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年度工作计划、绩效目标、年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总工作总结、年终考评、单位财务管理制度等。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评价指标体系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本次评价工作围绕决策、过程、产出和效果，设定三级指标进行权重比计分。项目评价结果实行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100分制，根据指标要素评价计算得分，评价结果为优、良、中、差四个等级。</w:t>
      </w:r>
    </w:p>
    <w:tbl>
      <w:tblPr>
        <w:tblStyle w:val="8"/>
        <w:tblW w:w="0" w:type="auto"/>
        <w:tblInd w:w="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660"/>
        <w:gridCol w:w="1725"/>
        <w:gridCol w:w="1725"/>
        <w:gridCol w:w="1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档次</w:t>
            </w: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优</w:t>
            </w:r>
          </w:p>
        </w:tc>
        <w:tc>
          <w:tcPr>
            <w:tcW w:w="17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良</w:t>
            </w:r>
          </w:p>
        </w:tc>
        <w:tc>
          <w:tcPr>
            <w:tcW w:w="17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</w:t>
            </w:r>
          </w:p>
        </w:tc>
        <w:tc>
          <w:tcPr>
            <w:tcW w:w="184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分值（S）</w:t>
            </w: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S≧90</w:t>
            </w:r>
          </w:p>
        </w:tc>
        <w:tc>
          <w:tcPr>
            <w:tcW w:w="17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90&gt;S≧80</w:t>
            </w:r>
          </w:p>
        </w:tc>
        <w:tc>
          <w:tcPr>
            <w:tcW w:w="17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80&gt;S≧60</w:t>
            </w:r>
          </w:p>
        </w:tc>
        <w:tc>
          <w:tcPr>
            <w:tcW w:w="184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S&lt;60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（五）具体评价范围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此次评价范围为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林芝市审计局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预算申报的本级2024年度重点项目支出。评价项目为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委托审计业务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经费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，评价项目总量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180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万元。详见下表：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jc w:val="right"/>
        <w:textAlignment w:val="auto"/>
        <w:rPr>
          <w:rFonts w:hint="eastAsia" w:eastAsia="仿宋_GB2312"/>
          <w:lang w:eastAsia="zh-CN"/>
        </w:rPr>
      </w:pP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lang w:eastAsia="zh-CN"/>
        </w:rPr>
        <w:t>单位：万元</w:t>
      </w:r>
    </w:p>
    <w:tbl>
      <w:tblPr>
        <w:tblStyle w:val="8"/>
        <w:tblW w:w="0" w:type="auto"/>
        <w:tblInd w:w="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50"/>
        <w:gridCol w:w="1260"/>
        <w:gridCol w:w="1740"/>
        <w:gridCol w:w="1095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7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12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预算总数</w:t>
            </w:r>
          </w:p>
        </w:tc>
        <w:tc>
          <w:tcPr>
            <w:tcW w:w="1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资金使用情况</w:t>
            </w: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支付率</w:t>
            </w: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eastAsia="zh-CN"/>
              </w:rPr>
              <w:t>委托审计业务经费</w:t>
            </w:r>
          </w:p>
        </w:tc>
        <w:tc>
          <w:tcPr>
            <w:tcW w:w="12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180</w:t>
            </w:r>
          </w:p>
        </w:tc>
        <w:tc>
          <w:tcPr>
            <w:tcW w:w="1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149.36</w:t>
            </w: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82.98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财政专项资金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200"/>
        <w:jc w:val="both"/>
        <w:textAlignment w:val="auto"/>
        <w:rPr>
          <w:rFonts w:hint="default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ascii="方正小标宋简体" w:eastAsia="方正小标宋简体"/>
        </w:rPr>
      </w:pPr>
      <w:r>
        <w:rPr>
          <w:rFonts w:hint="eastAsia" w:ascii="黑体" w:hAnsi="黑体" w:eastAsia="黑体" w:cs="黑体"/>
        </w:rPr>
        <w:t>三、绩效指标分析情况（对照附件2《项目绩效自评指标评分表》分析）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（一）自评分数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经评价</w:t>
      </w:r>
      <w:r>
        <w:rPr>
          <w:rFonts w:hint="eastAsia" w:ascii="仿宋_GB2312" w:hAnsi="仿宋_GB2312" w:cs="仿宋_GB2312"/>
          <w:lang w:val="en-US" w:eastAsia="zh-CN"/>
        </w:rPr>
        <w:t>林芝市审计局</w:t>
      </w:r>
      <w:r>
        <w:rPr>
          <w:rFonts w:hint="eastAsia" w:ascii="仿宋_GB2312" w:hAnsi="仿宋_GB2312" w:eastAsia="仿宋_GB2312" w:cs="仿宋_GB2312"/>
          <w:lang w:val="en-US" w:eastAsia="zh-CN"/>
        </w:rPr>
        <w:t>2024年度重点项目预算评价结果为：“</w:t>
      </w:r>
      <w:r>
        <w:rPr>
          <w:rFonts w:hint="eastAsia" w:ascii="仿宋_GB2312" w:hAnsi="仿宋_GB2312" w:cs="仿宋_GB2312"/>
          <w:lang w:val="en-US" w:eastAsia="zh-CN"/>
        </w:rPr>
        <w:t>良好</w:t>
      </w:r>
      <w:r>
        <w:rPr>
          <w:rFonts w:hint="eastAsia" w:ascii="仿宋_GB2312" w:hAnsi="仿宋_GB2312" w:eastAsia="仿宋_GB2312" w:cs="仿宋_GB2312"/>
          <w:lang w:val="en-US" w:eastAsia="zh-CN"/>
        </w:rPr>
        <w:t>”，预算金额</w:t>
      </w:r>
      <w:r>
        <w:rPr>
          <w:rFonts w:hint="eastAsia" w:ascii="仿宋_GB2312" w:hAnsi="仿宋_GB2312" w:cs="仿宋_GB2312"/>
          <w:lang w:val="en-US" w:eastAsia="zh-CN"/>
        </w:rPr>
        <w:t>180</w:t>
      </w:r>
      <w:r>
        <w:rPr>
          <w:rFonts w:hint="eastAsia" w:ascii="仿宋_GB2312" w:hAnsi="仿宋_GB2312" w:eastAsia="仿宋_GB2312" w:cs="仿宋_GB2312"/>
          <w:lang w:val="en-US" w:eastAsia="zh-CN"/>
        </w:rPr>
        <w:t>万元。详见附件。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default" w:ascii="Times New Roman" w:hAnsi="Times New Roman" w:cs="Times New Roman"/>
          <w:b w:val="0"/>
          <w:bCs w:val="0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highlight w:val="none"/>
        </w:rPr>
        <w:t>（二）评价指标分析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1. </w:t>
      </w:r>
      <w:r>
        <w:rPr>
          <w:rFonts w:hint="default" w:ascii="Times New Roman" w:hAnsi="Times New Roman" w:cs="Times New Roman"/>
        </w:rPr>
        <w:t>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val="en-US" w:eastAsia="zh-CN"/>
        </w:rPr>
        <w:t>前期准备：成立评价小组，了解评价工作目标任务；组织实施：本次绩效评价的方式是现场评价，主要工作包括资料收集等；分析评价：根据获取的资料和信息进行评价，做出比较分析。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default" w:ascii="Times New Roman" w:hAnsi="Times New Roman" w:cs="Times New Roman"/>
          <w:color w:val="000000" w:themeColor="text1"/>
        </w:rPr>
      </w:pPr>
      <w:r>
        <w:rPr>
          <w:rFonts w:hint="default" w:ascii="Times New Roman" w:hAnsi="Times New Roman" w:cs="Times New Roman"/>
          <w:color w:val="000000" w:themeColor="text1"/>
        </w:rPr>
        <w:t>产出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lang w:val="en-US" w:eastAsia="zh-CN"/>
        </w:rPr>
      </w:pPr>
      <w:r>
        <w:rPr>
          <w:rFonts w:hint="eastAsia" w:cs="Times New Roman"/>
          <w:color w:val="FF0000"/>
          <w:lang w:val="en-US" w:eastAsia="zh-CN"/>
        </w:rPr>
        <w:t xml:space="preserve">    </w:t>
      </w:r>
      <w:r>
        <w:rPr>
          <w:rFonts w:hint="eastAsia" w:cs="Times New Roman"/>
          <w:color w:val="000000" w:themeColor="text1"/>
          <w:lang w:val="en-US" w:eastAsia="zh-CN"/>
        </w:rPr>
        <w:t>2024年度完成8项委托审计项目任务，审计报告出具及时率达98%，审计问题整改建议覆盖率达100%。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16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效益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lang w:eastAsia="zh-CN"/>
        </w:rPr>
        <w:t>效益目标</w:t>
      </w:r>
      <w:r>
        <w:rPr>
          <w:rFonts w:hint="eastAsia" w:ascii="仿宋_GB2312" w:hAnsi="仿宋_GB2312" w:eastAsia="仿宋_GB2312" w:cs="仿宋_GB231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2024年市审计局开展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" w:eastAsia="zh-CN" w:bidi="ar-SA"/>
        </w:rPr>
        <w:t>政策跟踪审计、财政财务审计、企业审计、经济责任审计、自然资源资产审计及专项审计调查等项目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" w:eastAsia="zh-CN" w:bidi="ar-SA"/>
        </w:rPr>
        <w:t>类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16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" w:eastAsia="zh-CN" w:bidi="ar-SA"/>
        </w:rPr>
        <w:t>个（不含审计署统一组织实施审计项目），均已完成审计工作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" w:eastAsia="zh-CN" w:bidi="ar-SA"/>
        </w:rPr>
        <w:t>查出各类违纪违规资金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" w:eastAsia="zh-CN" w:bidi="ar-SA"/>
        </w:rPr>
        <w:t>342397.09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万元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" w:eastAsia="zh-CN" w:bidi="ar-SA"/>
        </w:rPr>
        <w:t>，处理处罚资金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1065.93万元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" w:eastAsia="zh-CN" w:bidi="ar-SA"/>
        </w:rPr>
        <w:t>，查出问题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" w:eastAsia="zh-CN" w:bidi="ar-SA"/>
        </w:rPr>
        <w:t>304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个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" w:eastAsia="zh-CN" w:bidi="ar-SA"/>
        </w:rPr>
        <w:t>，提出审计意见和建议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" w:eastAsia="zh-CN" w:bidi="ar-SA"/>
        </w:rPr>
        <w:t>4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" w:eastAsia="zh-CN" w:bidi="ar-SA"/>
        </w:rPr>
        <w:t>条，出具移送处理书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15份，以强有力的审计监督确保各项决策部署不折不扣落实落地。</w:t>
      </w:r>
      <w:r>
        <w:rPr>
          <w:rFonts w:hint="eastAsia" w:ascii="Nimbus Roman No9 L" w:hAnsi="Nimbus Roman No9 L" w:eastAsia="仿宋_GB2312" w:cs="Nimbus Roman No9 L"/>
          <w:color w:val="000000"/>
          <w:kern w:val="2"/>
          <w:sz w:val="32"/>
          <w:szCs w:val="32"/>
          <w:lang w:val="en-US" w:eastAsia="zh-CN" w:bidi="ar-SA"/>
        </w:rPr>
        <w:t>整理编辑了财政财务收支及预决算执行审计、党政主要领导经济责任审计、自然资源资产（离任）审计、国有企业方面的审计、政府性固定资产投资审计等9个方面67个案例，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出版《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4"/>
          <w:sz w:val="32"/>
          <w:szCs w:val="32"/>
          <w:shd w:val="clear" w:color="auto" w:fill="FFFFFF"/>
          <w:lang w:val="en-US" w:eastAsia="zh-CN"/>
        </w:rPr>
        <w:t>审</w:t>
      </w:r>
      <w:r>
        <w:rPr>
          <w:rFonts w:hint="eastAsia" w:ascii="Nimbus Roman No9 L" w:hAnsi="Nimbus Roman No9 L" w:eastAsia="仿宋_GB2312" w:cs="Nimbus Roman No9 L"/>
          <w:color w:val="000000"/>
          <w:kern w:val="2"/>
          <w:sz w:val="32"/>
          <w:szCs w:val="32"/>
          <w:lang w:val="en-US" w:eastAsia="zh-CN" w:bidi="ar-SA"/>
        </w:rPr>
        <w:t>计说“是”》，向全市99家预算单位和市县乡三级领导印发，切实以身边事教育身边人。</w:t>
      </w: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有序推动问题整改，召开审计整改工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作专题务虚会，分析研判审计整改工作，目前，2023年度实施的19个审计项目中已完成问题整改321个，正在整改32个，整改率为90.94%，其中：247个立行立改的问题已全部完成整改，整改率100%；分阶段和持续整改问题已整改74个。通过上缴国库、统筹盘活、收回资金、促进拨付使用、调账等方式落实整改问题金额114321.88万元，建章立制43项，追责问责27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default" w:ascii="Times New Roman" w:hAnsi="Times New Roman" w:cs="Times New Roman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四、改进意见（计划）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cs="仿宋_GB231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lang w:eastAsia="zh-CN"/>
        </w:rPr>
        <w:t>进一步加强预算绩效管理工作，提高资金管理水平。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lang w:val="en-US" w:eastAsia="zh-CN"/>
        </w:rPr>
        <w:t>进一步强化预算绩效主体责任。加强对预算绩效管理工作的重视，落实部门绩效管理主体责任，结合实际，合理预算绩效管理。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lang w:val="en-US" w:eastAsia="zh-CN"/>
        </w:rPr>
        <w:t>完善预算绩效目标、指标设定。完善编制绩效，细化、量化预算绩效指标，确保绩效目标指向具体细化、合理可行等。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lang w:val="en-US" w:eastAsia="zh-CN"/>
        </w:rPr>
        <w:t>不断提高财政资金使用效益。重视资金使用效果，切实树立“花钱必有效、无效必问责”的理念。确保每一分钱都能发挥自己的作用。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其他需要说明的情况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积极调动各部门工作积极性，为绩效评价结果落到实处提供强有力的制度保障。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财务人员应积极参与财政部门等机构组织的业务培训，不断学习预算绩效管理方面的新制度新要求，不断加强与单位业务部门的联系。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                                  </w:t>
      </w:r>
      <w:r>
        <w:rPr>
          <w:rFonts w:hint="eastAsia"/>
          <w:lang w:eastAsia="zh-CN"/>
        </w:rPr>
        <w:t>林芝市审计局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2025年5月10日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588" w:bottom="1644" w:left="1701" w:header="851" w:footer="992" w:gutter="0"/>
      <w:cols w:space="425" w:num="1"/>
      <w:docGrid w:type="linesAndChars" w:linePitch="610" w:charSpace="-25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B0E9B"/>
    <w:multiLevelType w:val="singleLevel"/>
    <w:tmpl w:val="CC1B0E9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059E161"/>
    <w:multiLevelType w:val="singleLevel"/>
    <w:tmpl w:val="2059E16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156AC28"/>
    <w:multiLevelType w:val="singleLevel"/>
    <w:tmpl w:val="2156AC28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75687B81"/>
    <w:multiLevelType w:val="singleLevel"/>
    <w:tmpl w:val="75687B8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HorizontalSpacing w:val="154"/>
  <w:drawingGridVerticalSpacing w:val="305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5Njk1NmE3OWM3NDJhMDU0NTM4NjY4NWRlYTlmZDYifQ=="/>
  </w:docVars>
  <w:rsids>
    <w:rsidRoot w:val="00DA04CD"/>
    <w:rsid w:val="00007A67"/>
    <w:rsid w:val="00022542"/>
    <w:rsid w:val="000240EE"/>
    <w:rsid w:val="000258AA"/>
    <w:rsid w:val="000C0184"/>
    <w:rsid w:val="000D1E99"/>
    <w:rsid w:val="00145B76"/>
    <w:rsid w:val="001A455A"/>
    <w:rsid w:val="001C65A3"/>
    <w:rsid w:val="00235EDE"/>
    <w:rsid w:val="00283EB6"/>
    <w:rsid w:val="002D40EC"/>
    <w:rsid w:val="002D7EDF"/>
    <w:rsid w:val="002E516E"/>
    <w:rsid w:val="002E5CB6"/>
    <w:rsid w:val="002F0587"/>
    <w:rsid w:val="00322A7D"/>
    <w:rsid w:val="00325DE1"/>
    <w:rsid w:val="00331AA1"/>
    <w:rsid w:val="00347820"/>
    <w:rsid w:val="00347914"/>
    <w:rsid w:val="00395359"/>
    <w:rsid w:val="004078CE"/>
    <w:rsid w:val="00410146"/>
    <w:rsid w:val="00413B2F"/>
    <w:rsid w:val="00432296"/>
    <w:rsid w:val="004531CF"/>
    <w:rsid w:val="004749F5"/>
    <w:rsid w:val="00486009"/>
    <w:rsid w:val="004B2E77"/>
    <w:rsid w:val="004B3572"/>
    <w:rsid w:val="0053790D"/>
    <w:rsid w:val="00537F7E"/>
    <w:rsid w:val="00566EB1"/>
    <w:rsid w:val="0059798E"/>
    <w:rsid w:val="005B06B5"/>
    <w:rsid w:val="005C28C3"/>
    <w:rsid w:val="005D4C3F"/>
    <w:rsid w:val="005E6FE2"/>
    <w:rsid w:val="00606F30"/>
    <w:rsid w:val="00620700"/>
    <w:rsid w:val="0062264E"/>
    <w:rsid w:val="006265B7"/>
    <w:rsid w:val="006317C3"/>
    <w:rsid w:val="00675A9A"/>
    <w:rsid w:val="00683EA8"/>
    <w:rsid w:val="006D4795"/>
    <w:rsid w:val="00754811"/>
    <w:rsid w:val="00756360"/>
    <w:rsid w:val="00781B6C"/>
    <w:rsid w:val="0078264B"/>
    <w:rsid w:val="007A7399"/>
    <w:rsid w:val="007B2E55"/>
    <w:rsid w:val="007C2978"/>
    <w:rsid w:val="007D2DD9"/>
    <w:rsid w:val="008428B2"/>
    <w:rsid w:val="0084340E"/>
    <w:rsid w:val="00880F2C"/>
    <w:rsid w:val="008B525A"/>
    <w:rsid w:val="008C30AE"/>
    <w:rsid w:val="008D3371"/>
    <w:rsid w:val="008E75C3"/>
    <w:rsid w:val="0090022C"/>
    <w:rsid w:val="00A1401A"/>
    <w:rsid w:val="00A3720F"/>
    <w:rsid w:val="00A70279"/>
    <w:rsid w:val="00A8644D"/>
    <w:rsid w:val="00A91495"/>
    <w:rsid w:val="00AC53BB"/>
    <w:rsid w:val="00AF5FB9"/>
    <w:rsid w:val="00B05F42"/>
    <w:rsid w:val="00B12D08"/>
    <w:rsid w:val="00B55F8F"/>
    <w:rsid w:val="00BA5204"/>
    <w:rsid w:val="00C005AF"/>
    <w:rsid w:val="00C10A76"/>
    <w:rsid w:val="00CB17DD"/>
    <w:rsid w:val="00CD313A"/>
    <w:rsid w:val="00CD5F4B"/>
    <w:rsid w:val="00D45282"/>
    <w:rsid w:val="00D73EB4"/>
    <w:rsid w:val="00D74AD4"/>
    <w:rsid w:val="00D82FAA"/>
    <w:rsid w:val="00DA04CD"/>
    <w:rsid w:val="00DA43A7"/>
    <w:rsid w:val="00DA5CEB"/>
    <w:rsid w:val="00DC37C4"/>
    <w:rsid w:val="00DC4199"/>
    <w:rsid w:val="00DF7A41"/>
    <w:rsid w:val="00E03302"/>
    <w:rsid w:val="00E23CAC"/>
    <w:rsid w:val="00E71A39"/>
    <w:rsid w:val="00E75090"/>
    <w:rsid w:val="00E82D5B"/>
    <w:rsid w:val="00EA3F40"/>
    <w:rsid w:val="00EA4E69"/>
    <w:rsid w:val="00EC4520"/>
    <w:rsid w:val="00ED3E32"/>
    <w:rsid w:val="00EF18C9"/>
    <w:rsid w:val="00F04107"/>
    <w:rsid w:val="00F43167"/>
    <w:rsid w:val="00F43EA4"/>
    <w:rsid w:val="00F60DBF"/>
    <w:rsid w:val="00F726D7"/>
    <w:rsid w:val="00FF548F"/>
    <w:rsid w:val="03D60BBC"/>
    <w:rsid w:val="06607F3F"/>
    <w:rsid w:val="077034C1"/>
    <w:rsid w:val="07BE7EF7"/>
    <w:rsid w:val="07E32C1A"/>
    <w:rsid w:val="08844E22"/>
    <w:rsid w:val="0B706C26"/>
    <w:rsid w:val="0B7E4910"/>
    <w:rsid w:val="0BA57337"/>
    <w:rsid w:val="0BB45254"/>
    <w:rsid w:val="0C91376D"/>
    <w:rsid w:val="0CAF268A"/>
    <w:rsid w:val="0D22265C"/>
    <w:rsid w:val="0D5679FB"/>
    <w:rsid w:val="0D90441B"/>
    <w:rsid w:val="0EF47B97"/>
    <w:rsid w:val="0F26281D"/>
    <w:rsid w:val="0F6D234D"/>
    <w:rsid w:val="10994F23"/>
    <w:rsid w:val="10AF0BAA"/>
    <w:rsid w:val="10B614DB"/>
    <w:rsid w:val="11795BB3"/>
    <w:rsid w:val="12525C48"/>
    <w:rsid w:val="127A5AD5"/>
    <w:rsid w:val="14471237"/>
    <w:rsid w:val="14714D46"/>
    <w:rsid w:val="148D5205"/>
    <w:rsid w:val="15BE0A8D"/>
    <w:rsid w:val="16461969"/>
    <w:rsid w:val="16821BA4"/>
    <w:rsid w:val="17891CFD"/>
    <w:rsid w:val="17B55E8B"/>
    <w:rsid w:val="18D77E44"/>
    <w:rsid w:val="19654C59"/>
    <w:rsid w:val="1B0973D1"/>
    <w:rsid w:val="1B4B17FC"/>
    <w:rsid w:val="1B7E66C0"/>
    <w:rsid w:val="1BC97D3B"/>
    <w:rsid w:val="1C72433F"/>
    <w:rsid w:val="1C7C4625"/>
    <w:rsid w:val="1C7E7F61"/>
    <w:rsid w:val="1C880C11"/>
    <w:rsid w:val="1D3E6BCF"/>
    <w:rsid w:val="1D6B7F07"/>
    <w:rsid w:val="1E5428C7"/>
    <w:rsid w:val="1E566E09"/>
    <w:rsid w:val="1EED147B"/>
    <w:rsid w:val="1F06710C"/>
    <w:rsid w:val="1F83778A"/>
    <w:rsid w:val="1FDC1EA2"/>
    <w:rsid w:val="203364B5"/>
    <w:rsid w:val="206A1C33"/>
    <w:rsid w:val="228676FC"/>
    <w:rsid w:val="23361FBB"/>
    <w:rsid w:val="233C6978"/>
    <w:rsid w:val="23B91969"/>
    <w:rsid w:val="24550D52"/>
    <w:rsid w:val="245934BD"/>
    <w:rsid w:val="2533355B"/>
    <w:rsid w:val="26881B2A"/>
    <w:rsid w:val="26C32109"/>
    <w:rsid w:val="26F86CAF"/>
    <w:rsid w:val="284321AC"/>
    <w:rsid w:val="291C1395"/>
    <w:rsid w:val="29361D11"/>
    <w:rsid w:val="299E3CCA"/>
    <w:rsid w:val="29DC556C"/>
    <w:rsid w:val="2A9B0431"/>
    <w:rsid w:val="2B1E6FA1"/>
    <w:rsid w:val="2CAC016E"/>
    <w:rsid w:val="2D2D4885"/>
    <w:rsid w:val="2E1D755E"/>
    <w:rsid w:val="2EA8260F"/>
    <w:rsid w:val="2F2A2A99"/>
    <w:rsid w:val="2FF74D09"/>
    <w:rsid w:val="304545E8"/>
    <w:rsid w:val="305D324A"/>
    <w:rsid w:val="309830E4"/>
    <w:rsid w:val="320812F2"/>
    <w:rsid w:val="32905114"/>
    <w:rsid w:val="32A221C5"/>
    <w:rsid w:val="32EF135B"/>
    <w:rsid w:val="340F089F"/>
    <w:rsid w:val="3542069B"/>
    <w:rsid w:val="372133F2"/>
    <w:rsid w:val="38C20ECB"/>
    <w:rsid w:val="38DD7AB3"/>
    <w:rsid w:val="38F84964"/>
    <w:rsid w:val="399D36E6"/>
    <w:rsid w:val="3AB426F3"/>
    <w:rsid w:val="3AF54B5C"/>
    <w:rsid w:val="3C221C81"/>
    <w:rsid w:val="3E03620E"/>
    <w:rsid w:val="3EAD1CD6"/>
    <w:rsid w:val="3F724CCD"/>
    <w:rsid w:val="4013025E"/>
    <w:rsid w:val="4081121B"/>
    <w:rsid w:val="417411D1"/>
    <w:rsid w:val="41944F2F"/>
    <w:rsid w:val="42051BC8"/>
    <w:rsid w:val="429C4CA3"/>
    <w:rsid w:val="430D73BE"/>
    <w:rsid w:val="43853221"/>
    <w:rsid w:val="44460ED5"/>
    <w:rsid w:val="4503536F"/>
    <w:rsid w:val="453559E9"/>
    <w:rsid w:val="47E31E5E"/>
    <w:rsid w:val="497F3609"/>
    <w:rsid w:val="4AC74CC7"/>
    <w:rsid w:val="4ACA61F8"/>
    <w:rsid w:val="4C0F4F55"/>
    <w:rsid w:val="4C6C08A5"/>
    <w:rsid w:val="4C9C691F"/>
    <w:rsid w:val="4D186790"/>
    <w:rsid w:val="4D1A0E7E"/>
    <w:rsid w:val="4D261D06"/>
    <w:rsid w:val="4D7D4514"/>
    <w:rsid w:val="4E6F58BE"/>
    <w:rsid w:val="4F0157EA"/>
    <w:rsid w:val="4F876593"/>
    <w:rsid w:val="4FFB5F66"/>
    <w:rsid w:val="50A50592"/>
    <w:rsid w:val="50B065B5"/>
    <w:rsid w:val="514E2BB9"/>
    <w:rsid w:val="51891D90"/>
    <w:rsid w:val="51E0071F"/>
    <w:rsid w:val="53552D17"/>
    <w:rsid w:val="536E726B"/>
    <w:rsid w:val="5458228C"/>
    <w:rsid w:val="55310940"/>
    <w:rsid w:val="55382BA4"/>
    <w:rsid w:val="55651BAC"/>
    <w:rsid w:val="569122F9"/>
    <w:rsid w:val="56D9261F"/>
    <w:rsid w:val="56F269C8"/>
    <w:rsid w:val="578706C7"/>
    <w:rsid w:val="584077DE"/>
    <w:rsid w:val="593A2391"/>
    <w:rsid w:val="59C83A10"/>
    <w:rsid w:val="5A9F44DE"/>
    <w:rsid w:val="5B231FF7"/>
    <w:rsid w:val="5B25654A"/>
    <w:rsid w:val="5DAB5B22"/>
    <w:rsid w:val="5DED461C"/>
    <w:rsid w:val="616A68A0"/>
    <w:rsid w:val="61700C15"/>
    <w:rsid w:val="61E57855"/>
    <w:rsid w:val="62A867E2"/>
    <w:rsid w:val="645F16E4"/>
    <w:rsid w:val="64ED51E6"/>
    <w:rsid w:val="653812D2"/>
    <w:rsid w:val="656211BC"/>
    <w:rsid w:val="661E1652"/>
    <w:rsid w:val="669A352B"/>
    <w:rsid w:val="6707604D"/>
    <w:rsid w:val="67E64277"/>
    <w:rsid w:val="68303BE3"/>
    <w:rsid w:val="68915D86"/>
    <w:rsid w:val="68BA0512"/>
    <w:rsid w:val="69819BE3"/>
    <w:rsid w:val="6A49294B"/>
    <w:rsid w:val="6B9B6776"/>
    <w:rsid w:val="6BF7165F"/>
    <w:rsid w:val="6C17183C"/>
    <w:rsid w:val="6CDA716E"/>
    <w:rsid w:val="6DD662A4"/>
    <w:rsid w:val="6E123544"/>
    <w:rsid w:val="6F6E4088"/>
    <w:rsid w:val="6FF84BF7"/>
    <w:rsid w:val="716360A0"/>
    <w:rsid w:val="73396EFC"/>
    <w:rsid w:val="73466413"/>
    <w:rsid w:val="73D95504"/>
    <w:rsid w:val="75E22BC2"/>
    <w:rsid w:val="75F6689D"/>
    <w:rsid w:val="760F3FF7"/>
    <w:rsid w:val="76720632"/>
    <w:rsid w:val="76874D1D"/>
    <w:rsid w:val="772A2886"/>
    <w:rsid w:val="78BC7F70"/>
    <w:rsid w:val="78DC67F1"/>
    <w:rsid w:val="7A237656"/>
    <w:rsid w:val="7A443709"/>
    <w:rsid w:val="7A57076C"/>
    <w:rsid w:val="7A611A84"/>
    <w:rsid w:val="7C484315"/>
    <w:rsid w:val="7CBD1F84"/>
    <w:rsid w:val="7CC4565B"/>
    <w:rsid w:val="7D302669"/>
    <w:rsid w:val="7EA82D78"/>
    <w:rsid w:val="7FB949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qFormat/>
    <w:uiPriority w:val="0"/>
    <w:pPr>
      <w:ind w:firstLine="0" w:firstLineChars="0"/>
    </w:pPr>
    <w:rPr>
      <w:rFonts w:ascii="Times New Roman" w:hAnsi="Times New Roman"/>
    </w:rPr>
  </w:style>
  <w:style w:type="paragraph" w:styleId="3">
    <w:name w:val="Body Text"/>
    <w:basedOn w:val="1"/>
    <w:next w:val="1"/>
    <w:qFormat/>
    <w:uiPriority w:val="0"/>
    <w:pPr>
      <w:adjustRightInd w:val="0"/>
      <w:snapToGrid w:val="0"/>
      <w:spacing w:line="580" w:lineRule="atLeast"/>
    </w:pPr>
    <w:rPr>
      <w:color w:val="000000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1404</Words>
  <Characters>1488</Characters>
  <Lines>3</Lines>
  <Paragraphs>1</Paragraphs>
  <TotalTime>8</TotalTime>
  <ScaleCrop>false</ScaleCrop>
  <LinksUpToDate>false</LinksUpToDate>
  <CharactersWithSpaces>1612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2023-03-23T08:31:00Z</dcterms:created>
  <dc:creator>梁莉瑶</dc:creator>
  <cp:lastModifiedBy>xzsj</cp:lastModifiedBy>
  <cp:lastPrinted>2025-11-05T10:11:00Z</cp:lastPrinted>
  <dcterms:modified xsi:type="dcterms:W3CDTF">2025-11-06T11:41:26Z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eyJoZGlkIjoiODMwMWIyNjIzNTY4ZmZmYTU4YjI4YzM5NWY5YTJlODgifQ==</vt:lpwstr>
  </property>
  <property fmtid="{D5CDD505-2E9C-101B-9397-08002B2CF9AE}" pid="4" name="ICV">
    <vt:lpwstr>11D9B3357CCD419D9C773F7D1B373FDA_12</vt:lpwstr>
  </property>
</Properties>
</file>